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060D1F" w:rsidP="00704F41">
      <w:pPr>
        <w:jc w:val="both"/>
      </w:pPr>
      <w:r w:rsidRPr="00060D1F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D80130" w:rsidRPr="00704F41" w:rsidRDefault="00D80130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060D1F" w:rsidP="00704F41">
      <w:pPr>
        <w:jc w:val="both"/>
      </w:pPr>
      <w:r w:rsidRPr="00060D1F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D80130" w:rsidRPr="009C657E" w:rsidRDefault="00D80130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D80130" w:rsidRPr="009C657E" w:rsidRDefault="00D80130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D80130" w:rsidRPr="00704F41" w:rsidRDefault="00D80130" w:rsidP="00704F41"/>
              </w:txbxContent>
            </v:textbox>
          </v:shape>
        </w:pict>
      </w:r>
      <w:r w:rsidRPr="00060D1F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D80130" w:rsidRPr="009C657E" w:rsidRDefault="00D80130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D80130" w:rsidRPr="009C657E" w:rsidRDefault="00D80130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D80130" w:rsidRPr="009C657E" w:rsidRDefault="00D80130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D80130" w:rsidRDefault="00D80130"/>
              </w:txbxContent>
            </v:textbox>
          </v:shape>
        </w:pict>
      </w:r>
      <w:r w:rsidRPr="00060D1F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D80130" w:rsidRPr="009C657E" w:rsidRDefault="00D80130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D80130" w:rsidRPr="009C657E" w:rsidRDefault="00D80130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D80130" w:rsidRPr="009C657E" w:rsidRDefault="00D80130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D80130" w:rsidRPr="009C657E" w:rsidRDefault="00D80130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D80130" w:rsidRPr="009C657E" w:rsidRDefault="00D80130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D80130" w:rsidRDefault="00D80130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060D1F" w:rsidP="00704F41">
      <w:pPr>
        <w:jc w:val="both"/>
      </w:pPr>
      <w:r w:rsidRPr="00060D1F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D80130" w:rsidRPr="00487679" w:rsidRDefault="00D80130" w:rsidP="009C657E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  <w:lang w:val="en-AU"/>
                    </w:rPr>
                  </w:pPr>
                  <w:r w:rsidRPr="00487679">
                    <w:rPr>
                      <w:b/>
                      <w:color w:val="FFFFFF" w:themeColor="background1"/>
                      <w:sz w:val="40"/>
                      <w:szCs w:val="40"/>
                      <w:lang w:val="en-AU"/>
                    </w:rPr>
                    <w:t>Senior Agreement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FD42DD" w:rsidRDefault="00FD42DD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21239C" w:rsidRDefault="0021239C" w:rsidP="0021239C">
      <w:pPr>
        <w:tabs>
          <w:tab w:val="left" w:pos="10620"/>
        </w:tabs>
        <w:rPr>
          <w:rFonts w:asciiTheme="minorHAnsi" w:hAnsiTheme="minorHAnsi"/>
          <w:sz w:val="22"/>
          <w:szCs w:val="22"/>
        </w:rPr>
      </w:pPr>
    </w:p>
    <w:p w:rsidR="00624A7E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</w:t>
      </w:r>
      <w:r w:rsidRPr="0021239C">
        <w:rPr>
          <w:rFonts w:asciiTheme="minorHAnsi" w:hAnsiTheme="minorHAnsi"/>
          <w:szCs w:val="24"/>
        </w:rPr>
        <w:t xml:space="preserve">The Senior Agreement </w:t>
      </w:r>
      <w:r w:rsidR="00F20F78" w:rsidRPr="0021239C">
        <w:rPr>
          <w:rFonts w:asciiTheme="minorHAnsi" w:hAnsiTheme="minorHAnsi"/>
          <w:szCs w:val="24"/>
        </w:rPr>
        <w:t>entail</w:t>
      </w:r>
      <w:r w:rsidR="00F20F78">
        <w:rPr>
          <w:rFonts w:asciiTheme="minorHAnsi" w:hAnsiTheme="minorHAnsi"/>
          <w:szCs w:val="24"/>
        </w:rPr>
        <w:t>s</w:t>
      </w:r>
      <w:r w:rsidRPr="0021239C">
        <w:rPr>
          <w:rFonts w:asciiTheme="minorHAnsi" w:hAnsiTheme="minorHAnsi"/>
          <w:szCs w:val="24"/>
        </w:rPr>
        <w:t xml:space="preserve"> students fulfilling certain responsibilities and having certain rights. </w:t>
      </w:r>
      <w:r w:rsidR="00D80130">
        <w:rPr>
          <w:rFonts w:asciiTheme="minorHAnsi" w:hAnsiTheme="minorHAnsi"/>
          <w:szCs w:val="24"/>
        </w:rPr>
        <w:t xml:space="preserve">  </w:t>
      </w:r>
      <w:r w:rsidRPr="0021239C">
        <w:rPr>
          <w:rFonts w:asciiTheme="minorHAnsi" w:hAnsiTheme="minorHAnsi"/>
          <w:szCs w:val="24"/>
        </w:rPr>
        <w:t>They are expected to apply themselves with diligence and sustained effort to the set tasks and experiences provided i</w:t>
      </w:r>
      <w:r w:rsidR="007B0E8F">
        <w:rPr>
          <w:rFonts w:asciiTheme="minorHAnsi" w:hAnsiTheme="minorHAnsi"/>
          <w:szCs w:val="24"/>
        </w:rPr>
        <w:t xml:space="preserve">n the courses they are studying.  </w:t>
      </w:r>
    </w:p>
    <w:p w:rsidR="00624A7E" w:rsidRDefault="00624A7E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624A7E" w:rsidP="00624A7E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Student Responsibilities include f</w:t>
      </w:r>
      <w:r w:rsidR="007B0E8F">
        <w:rPr>
          <w:rFonts w:asciiTheme="minorHAnsi" w:hAnsiTheme="minorHAnsi"/>
          <w:szCs w:val="24"/>
        </w:rPr>
        <w:t>ollow</w:t>
      </w:r>
      <w:r>
        <w:rPr>
          <w:rFonts w:asciiTheme="minorHAnsi" w:hAnsiTheme="minorHAnsi"/>
          <w:szCs w:val="24"/>
        </w:rPr>
        <w:t>ing</w:t>
      </w:r>
      <w:r w:rsidR="007B0E8F">
        <w:rPr>
          <w:rFonts w:asciiTheme="minorHAnsi" w:hAnsiTheme="minorHAnsi"/>
          <w:szCs w:val="24"/>
        </w:rPr>
        <w:t xml:space="preserve"> the procedures outlined in the</w:t>
      </w:r>
      <w:r w:rsidR="00EB2645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Wilvandee</w:t>
      </w:r>
      <w:r w:rsidR="007B0E8F">
        <w:rPr>
          <w:rFonts w:asciiTheme="minorHAnsi" w:hAnsiTheme="minorHAnsi"/>
          <w:szCs w:val="24"/>
        </w:rPr>
        <w:t xml:space="preserve"> </w:t>
      </w:r>
      <w:r w:rsidR="007B0E8F" w:rsidRPr="00EB2645">
        <w:rPr>
          <w:rFonts w:asciiTheme="minorHAnsi" w:hAnsiTheme="minorHAnsi"/>
          <w:szCs w:val="24"/>
        </w:rPr>
        <w:t xml:space="preserve">Attendance </w:t>
      </w:r>
      <w:r w:rsidRPr="00EB2645">
        <w:rPr>
          <w:rFonts w:asciiTheme="minorHAnsi" w:hAnsiTheme="minorHAnsi"/>
          <w:szCs w:val="24"/>
        </w:rPr>
        <w:t>Policy,</w:t>
      </w:r>
      <w:r w:rsidR="007B0E8F" w:rsidRPr="00EB2645">
        <w:rPr>
          <w:rFonts w:asciiTheme="minorHAnsi" w:hAnsiTheme="minorHAnsi"/>
          <w:szCs w:val="24"/>
        </w:rPr>
        <w:t xml:space="preserve"> Malpractice and Non-serious Attempt Polic</w:t>
      </w:r>
      <w:r w:rsidRPr="00EB2645">
        <w:rPr>
          <w:rFonts w:asciiTheme="minorHAnsi" w:hAnsiTheme="minorHAnsi"/>
          <w:szCs w:val="24"/>
        </w:rPr>
        <w:t>y</w:t>
      </w:r>
      <w:r w:rsidR="007B0E8F" w:rsidRPr="00EB2645">
        <w:rPr>
          <w:rFonts w:asciiTheme="minorHAnsi" w:hAnsiTheme="minorHAnsi"/>
          <w:szCs w:val="24"/>
        </w:rPr>
        <w:t>, Study Period Work Guidelines, Student Protocols</w:t>
      </w:r>
      <w:r w:rsidR="00EB2645">
        <w:rPr>
          <w:rFonts w:asciiTheme="minorHAnsi" w:hAnsiTheme="minorHAnsi"/>
          <w:szCs w:val="24"/>
        </w:rPr>
        <w:t xml:space="preserve"> and</w:t>
      </w:r>
      <w:r w:rsidR="007B0E8F">
        <w:rPr>
          <w:rFonts w:asciiTheme="minorHAnsi" w:hAnsiTheme="minorHAnsi"/>
          <w:szCs w:val="24"/>
        </w:rPr>
        <w:t xml:space="preserve"> </w:t>
      </w:r>
      <w:r w:rsidR="0021239C" w:rsidRPr="0021239C">
        <w:rPr>
          <w:rFonts w:asciiTheme="minorHAnsi" w:hAnsiTheme="minorHAnsi"/>
          <w:szCs w:val="24"/>
        </w:rPr>
        <w:t>to we</w:t>
      </w:r>
      <w:r w:rsidR="007B0E8F">
        <w:rPr>
          <w:rFonts w:asciiTheme="minorHAnsi" w:hAnsiTheme="minorHAnsi"/>
          <w:szCs w:val="24"/>
        </w:rPr>
        <w:t>ar a</w:t>
      </w:r>
      <w:r w:rsidR="0021239C" w:rsidRPr="0021239C">
        <w:rPr>
          <w:rFonts w:asciiTheme="minorHAnsi" w:hAnsiTheme="minorHAnsi"/>
          <w:szCs w:val="24"/>
        </w:rPr>
        <w:t xml:space="preserve"> school </w:t>
      </w:r>
      <w:r w:rsidR="007B0E8F">
        <w:rPr>
          <w:rFonts w:asciiTheme="minorHAnsi" w:hAnsiTheme="minorHAnsi"/>
          <w:szCs w:val="24"/>
        </w:rPr>
        <w:t xml:space="preserve">or WAP </w:t>
      </w:r>
      <w:r w:rsidR="0021239C" w:rsidRPr="0021239C">
        <w:rPr>
          <w:rFonts w:asciiTheme="minorHAnsi" w:hAnsiTheme="minorHAnsi"/>
          <w:szCs w:val="24"/>
        </w:rPr>
        <w:t>uniform</w:t>
      </w:r>
      <w:r>
        <w:rPr>
          <w:rFonts w:asciiTheme="minorHAnsi" w:hAnsiTheme="minorHAnsi"/>
          <w:szCs w:val="24"/>
        </w:rPr>
        <w:t xml:space="preserve"> (shirt)</w:t>
      </w:r>
      <w:r w:rsidR="00EB2645">
        <w:rPr>
          <w:rFonts w:asciiTheme="minorHAnsi" w:hAnsiTheme="minorHAnsi"/>
          <w:szCs w:val="24"/>
        </w:rPr>
        <w:t xml:space="preserve"> every day.  Students are also expected to</w:t>
      </w:r>
      <w:r w:rsidR="00F20F78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follow </w:t>
      </w:r>
      <w:r w:rsidR="007B0E8F">
        <w:rPr>
          <w:rFonts w:asciiTheme="minorHAnsi" w:hAnsiTheme="minorHAnsi"/>
          <w:szCs w:val="24"/>
        </w:rPr>
        <w:t>any other relevant BOS Policy or Proced</w:t>
      </w:r>
      <w:r w:rsidR="00F20F78">
        <w:rPr>
          <w:rFonts w:asciiTheme="minorHAnsi" w:hAnsiTheme="minorHAnsi"/>
          <w:szCs w:val="24"/>
        </w:rPr>
        <w:t>ure as outlined in the ARC Manua</w:t>
      </w:r>
      <w:r w:rsidR="007B0E8F">
        <w:rPr>
          <w:rFonts w:asciiTheme="minorHAnsi" w:hAnsiTheme="minorHAnsi"/>
          <w:szCs w:val="24"/>
        </w:rPr>
        <w:t>l</w:t>
      </w:r>
      <w:r w:rsidR="00FF23FC">
        <w:rPr>
          <w:rFonts w:asciiTheme="minorHAnsi" w:hAnsiTheme="minorHAnsi"/>
          <w:szCs w:val="24"/>
        </w:rPr>
        <w:t xml:space="preserve"> and </w:t>
      </w:r>
      <w:r>
        <w:rPr>
          <w:rFonts w:asciiTheme="minorHAnsi" w:hAnsiTheme="minorHAnsi"/>
          <w:szCs w:val="24"/>
        </w:rPr>
        <w:t xml:space="preserve">follow all </w:t>
      </w:r>
      <w:r w:rsidR="00FF23FC">
        <w:rPr>
          <w:rFonts w:asciiTheme="minorHAnsi" w:hAnsiTheme="minorHAnsi"/>
          <w:szCs w:val="24"/>
        </w:rPr>
        <w:t xml:space="preserve">DET </w:t>
      </w:r>
      <w:r>
        <w:rPr>
          <w:rFonts w:asciiTheme="minorHAnsi" w:hAnsiTheme="minorHAnsi"/>
          <w:szCs w:val="24"/>
        </w:rPr>
        <w:t xml:space="preserve">and local </w:t>
      </w:r>
      <w:r w:rsidR="00FF23FC">
        <w:rPr>
          <w:rFonts w:asciiTheme="minorHAnsi" w:hAnsiTheme="minorHAnsi"/>
          <w:szCs w:val="24"/>
        </w:rPr>
        <w:t>school rules</w:t>
      </w:r>
      <w:r w:rsidR="007B0E8F">
        <w:rPr>
          <w:rFonts w:asciiTheme="minorHAnsi" w:hAnsiTheme="minorHAnsi"/>
          <w:szCs w:val="24"/>
        </w:rPr>
        <w:t xml:space="preserve">. </w:t>
      </w:r>
      <w:r w:rsidR="0021239C" w:rsidRPr="0021239C">
        <w:rPr>
          <w:rFonts w:asciiTheme="minorHAnsi" w:hAnsiTheme="minorHAnsi"/>
          <w:szCs w:val="24"/>
        </w:rPr>
        <w:t xml:space="preserve"> 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F20F78" w:rsidRPr="00EB2645" w:rsidRDefault="00EB2645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St</w:t>
      </w:r>
      <w:r w:rsidR="00D80130">
        <w:rPr>
          <w:rFonts w:asciiTheme="minorHAnsi" w:hAnsiTheme="minorHAnsi"/>
          <w:szCs w:val="24"/>
        </w:rPr>
        <w:t>udent rights include the</w:t>
      </w:r>
      <w:r w:rsidR="002A24A1">
        <w:rPr>
          <w:rFonts w:asciiTheme="minorHAnsi" w:hAnsiTheme="minorHAnsi"/>
          <w:szCs w:val="24"/>
        </w:rPr>
        <w:t xml:space="preserve"> following:</w:t>
      </w:r>
    </w:p>
    <w:p w:rsidR="002A24A1" w:rsidRDefault="002A24A1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-A safe and challenging learning environment free fro</w:t>
      </w:r>
      <w:r w:rsidR="00D80130">
        <w:rPr>
          <w:rFonts w:asciiTheme="minorHAnsi" w:hAnsiTheme="minorHAnsi"/>
          <w:szCs w:val="24"/>
        </w:rPr>
        <w:t xml:space="preserve">m distractions.  </w:t>
      </w:r>
    </w:p>
    <w:p w:rsidR="002A24A1" w:rsidRDefault="002A24A1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F20F78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D80130">
        <w:rPr>
          <w:rFonts w:asciiTheme="minorHAnsi" w:hAnsiTheme="minorHAnsi"/>
          <w:szCs w:val="24"/>
        </w:rPr>
        <w:t>Ability to s</w:t>
      </w:r>
      <w:r w:rsidR="0021239C" w:rsidRPr="0021239C">
        <w:rPr>
          <w:rFonts w:asciiTheme="minorHAnsi" w:hAnsiTheme="minorHAnsi"/>
          <w:szCs w:val="24"/>
        </w:rPr>
        <w:t xml:space="preserve">ign out of school at recess and lunchtime provided they have signed back in before the next timetabled lesson. </w:t>
      </w:r>
      <w:r w:rsidR="00D80130">
        <w:rPr>
          <w:rFonts w:asciiTheme="minorHAnsi" w:hAnsiTheme="minorHAnsi"/>
          <w:szCs w:val="24"/>
        </w:rPr>
        <w:t>Local</w:t>
      </w:r>
      <w:r>
        <w:rPr>
          <w:rFonts w:asciiTheme="minorHAnsi" w:hAnsiTheme="minorHAnsi"/>
          <w:szCs w:val="24"/>
        </w:rPr>
        <w:t xml:space="preserve"> school rules may </w:t>
      </w:r>
      <w:r w:rsidR="00D80130">
        <w:rPr>
          <w:rFonts w:asciiTheme="minorHAnsi" w:hAnsiTheme="minorHAnsi"/>
          <w:szCs w:val="24"/>
        </w:rPr>
        <w:t>also be applied</w:t>
      </w:r>
      <w:r>
        <w:rPr>
          <w:rFonts w:asciiTheme="minorHAnsi" w:hAnsiTheme="minorHAnsi"/>
          <w:szCs w:val="24"/>
        </w:rPr>
        <w:t xml:space="preserve"> such as written permission from a caregiver.</w:t>
      </w:r>
    </w:p>
    <w:p w:rsidR="00F20F78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>When the student does not have a timetabled lesson, this is called a study period. Students may sign out when a lesson is not timetabled (study period), with the permission of the Head Teacher Access or Head Teacher Secondary Studies</w:t>
      </w:r>
      <w:r w:rsidRPr="00F20F78">
        <w:rPr>
          <w:rFonts w:asciiTheme="minorHAnsi" w:hAnsiTheme="minorHAnsi"/>
          <w:szCs w:val="24"/>
        </w:rPr>
        <w:t xml:space="preserve"> </w:t>
      </w:r>
      <w:r w:rsidRPr="0021239C">
        <w:rPr>
          <w:rFonts w:asciiTheme="minorHAnsi" w:hAnsiTheme="minorHAnsi"/>
          <w:szCs w:val="24"/>
        </w:rPr>
        <w:t>provided they have signed back in be</w:t>
      </w:r>
      <w:r>
        <w:rPr>
          <w:rFonts w:asciiTheme="minorHAnsi" w:hAnsiTheme="minorHAnsi"/>
          <w:szCs w:val="24"/>
        </w:rPr>
        <w:t>fore the next timetabled lesson</w:t>
      </w:r>
      <w:r w:rsidR="0021239C" w:rsidRPr="0021239C">
        <w:rPr>
          <w:rFonts w:asciiTheme="minorHAnsi" w:hAnsiTheme="minorHAnsi"/>
          <w:szCs w:val="24"/>
        </w:rPr>
        <w:t>.</w:t>
      </w:r>
      <w:r>
        <w:rPr>
          <w:rFonts w:asciiTheme="minorHAnsi" w:hAnsiTheme="minorHAnsi"/>
          <w:szCs w:val="24"/>
        </w:rPr>
        <w:t xml:space="preserve">  Additional local school rules may also apply.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 xml:space="preserve">All students </w:t>
      </w:r>
      <w:r>
        <w:rPr>
          <w:rFonts w:asciiTheme="minorHAnsi" w:hAnsiTheme="minorHAnsi"/>
          <w:szCs w:val="24"/>
        </w:rPr>
        <w:t xml:space="preserve">will </w:t>
      </w:r>
      <w:r w:rsidR="0021239C" w:rsidRPr="0021239C">
        <w:rPr>
          <w:rFonts w:asciiTheme="minorHAnsi" w:hAnsiTheme="minorHAnsi"/>
          <w:szCs w:val="24"/>
        </w:rPr>
        <w:t xml:space="preserve">have their own study area with a desk and the use of a computer. They are to be mindful of other students in the study area and respect each student’s need for a quiet place to work and study. 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>All students are to follow their local school mobile phone</w:t>
      </w:r>
      <w:r>
        <w:rPr>
          <w:rFonts w:asciiTheme="minorHAnsi" w:hAnsiTheme="minorHAnsi"/>
          <w:szCs w:val="24"/>
        </w:rPr>
        <w:t>, camera or other electronic device policies</w:t>
      </w:r>
      <w:r w:rsidR="0021239C" w:rsidRPr="0021239C">
        <w:rPr>
          <w:rFonts w:asciiTheme="minorHAnsi" w:hAnsiTheme="minorHAnsi"/>
          <w:szCs w:val="24"/>
        </w:rPr>
        <w:t xml:space="preserve">.  In general, mobile phones </w:t>
      </w:r>
      <w:r w:rsidR="00FF23FC">
        <w:rPr>
          <w:rFonts w:asciiTheme="minorHAnsi" w:hAnsiTheme="minorHAnsi"/>
          <w:szCs w:val="24"/>
        </w:rPr>
        <w:t xml:space="preserve">and cameras </w:t>
      </w:r>
      <w:r w:rsidR="0021239C" w:rsidRPr="0021239C">
        <w:rPr>
          <w:rFonts w:asciiTheme="minorHAnsi" w:hAnsiTheme="minorHAnsi"/>
          <w:szCs w:val="24"/>
        </w:rPr>
        <w:t xml:space="preserve">are to be left in students’ bags and turned off during class time. They are only to be used at recess and lunch-time if permitted by the local school. 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>Students’ cars should be used for travel between home and school only. Students may not transport other students unless with:</w:t>
      </w:r>
    </w:p>
    <w:p w:rsidR="0021239C" w:rsidRPr="0021239C" w:rsidRDefault="0021239C" w:rsidP="00FF23FC">
      <w:pPr>
        <w:numPr>
          <w:ilvl w:val="0"/>
          <w:numId w:val="9"/>
        </w:numPr>
        <w:tabs>
          <w:tab w:val="left" w:pos="10206"/>
        </w:tabs>
        <w:ind w:left="851" w:right="284"/>
        <w:rPr>
          <w:rFonts w:asciiTheme="minorHAnsi" w:hAnsiTheme="minorHAnsi"/>
          <w:szCs w:val="24"/>
        </w:rPr>
      </w:pPr>
      <w:r w:rsidRPr="0021239C">
        <w:rPr>
          <w:rFonts w:asciiTheme="minorHAnsi" w:hAnsiTheme="minorHAnsi"/>
          <w:szCs w:val="24"/>
        </w:rPr>
        <w:t>the written permission of the parent(s) of the driver and passenger(s) and</w:t>
      </w:r>
    </w:p>
    <w:p w:rsidR="0021239C" w:rsidRDefault="0021239C" w:rsidP="00FF23FC">
      <w:pPr>
        <w:numPr>
          <w:ilvl w:val="0"/>
          <w:numId w:val="9"/>
        </w:numPr>
        <w:tabs>
          <w:tab w:val="left" w:pos="10206"/>
        </w:tabs>
        <w:ind w:left="851" w:right="284"/>
        <w:rPr>
          <w:rFonts w:asciiTheme="minorHAnsi" w:hAnsiTheme="minorHAnsi"/>
          <w:szCs w:val="24"/>
        </w:rPr>
      </w:pPr>
      <w:proofErr w:type="gramStart"/>
      <w:r w:rsidRPr="0021239C">
        <w:rPr>
          <w:rFonts w:asciiTheme="minorHAnsi" w:hAnsiTheme="minorHAnsi"/>
          <w:szCs w:val="24"/>
        </w:rPr>
        <w:t>the</w:t>
      </w:r>
      <w:proofErr w:type="gramEnd"/>
      <w:r w:rsidRPr="0021239C">
        <w:rPr>
          <w:rFonts w:asciiTheme="minorHAnsi" w:hAnsiTheme="minorHAnsi"/>
          <w:szCs w:val="24"/>
        </w:rPr>
        <w:t xml:space="preserve"> approval of the Principal upon the sighting of a comprehensive car insurance policy.</w:t>
      </w:r>
    </w:p>
    <w:p w:rsidR="00F20F78" w:rsidRPr="0021239C" w:rsidRDefault="00FF23FC" w:rsidP="00FF23FC">
      <w:pPr>
        <w:tabs>
          <w:tab w:val="left" w:pos="10206"/>
        </w:tabs>
        <w:ind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</w:t>
      </w:r>
      <w:r w:rsidR="00F20F78">
        <w:rPr>
          <w:rFonts w:asciiTheme="minorHAnsi" w:hAnsiTheme="minorHAnsi"/>
          <w:szCs w:val="24"/>
        </w:rPr>
        <w:t xml:space="preserve">Additional </w:t>
      </w:r>
      <w:r>
        <w:rPr>
          <w:rFonts w:asciiTheme="minorHAnsi" w:hAnsiTheme="minorHAnsi"/>
          <w:szCs w:val="24"/>
        </w:rPr>
        <w:t xml:space="preserve">local </w:t>
      </w:r>
      <w:r w:rsidR="00F20F78">
        <w:rPr>
          <w:rFonts w:asciiTheme="minorHAnsi" w:hAnsiTheme="minorHAnsi"/>
          <w:szCs w:val="24"/>
        </w:rPr>
        <w:t>school rules may also apply.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pStyle w:val="BodyText"/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 xml:space="preserve">Students are not to possess or use tobacco products in any form at school and/or at any school activity/excursion. 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pStyle w:val="BodyText"/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-</w:t>
      </w:r>
      <w:r w:rsidR="0021239C" w:rsidRPr="0021239C">
        <w:rPr>
          <w:rFonts w:asciiTheme="minorHAnsi" w:hAnsiTheme="minorHAnsi"/>
          <w:szCs w:val="24"/>
        </w:rPr>
        <w:t>No student shall use, possess, give, exchange or be under the influence of any un</w:t>
      </w: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>prescribed drug, alcoholic beverage or intoxicant of any kind while on school property and/or at any school activity/excursion.</w:t>
      </w:r>
    </w:p>
    <w:p w:rsidR="0021239C" w:rsidRPr="0021239C" w:rsidRDefault="0021239C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21239C" w:rsidRPr="0021239C" w:rsidRDefault="00F20F78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</w:t>
      </w:r>
      <w:r w:rsidR="0021239C" w:rsidRPr="0021239C">
        <w:rPr>
          <w:rFonts w:asciiTheme="minorHAnsi" w:hAnsiTheme="minorHAnsi"/>
          <w:szCs w:val="24"/>
        </w:rPr>
        <w:t xml:space="preserve">For any </w:t>
      </w:r>
      <w:proofErr w:type="spellStart"/>
      <w:r w:rsidR="0021239C" w:rsidRPr="0021239C">
        <w:rPr>
          <w:rFonts w:asciiTheme="minorHAnsi" w:hAnsiTheme="minorHAnsi"/>
          <w:szCs w:val="24"/>
        </w:rPr>
        <w:t>organised</w:t>
      </w:r>
      <w:proofErr w:type="spellEnd"/>
      <w:r w:rsidR="0021239C" w:rsidRPr="0021239C">
        <w:rPr>
          <w:rFonts w:asciiTheme="minorHAnsi" w:hAnsiTheme="minorHAnsi"/>
          <w:szCs w:val="24"/>
        </w:rPr>
        <w:t xml:space="preserve"> school activity/excursion that requires travelling away from the school community, students are required to have permission notes signed by parents/caregivers and handed in to the </w:t>
      </w:r>
      <w:proofErr w:type="spellStart"/>
      <w:r w:rsidR="0021239C" w:rsidRPr="0021239C">
        <w:rPr>
          <w:rFonts w:asciiTheme="minorHAnsi" w:hAnsiTheme="minorHAnsi"/>
          <w:szCs w:val="24"/>
        </w:rPr>
        <w:t>organising</w:t>
      </w:r>
      <w:proofErr w:type="spellEnd"/>
      <w:r w:rsidR="0021239C" w:rsidRPr="0021239C">
        <w:rPr>
          <w:rFonts w:asciiTheme="minorHAnsi" w:hAnsiTheme="minorHAnsi"/>
          <w:szCs w:val="24"/>
        </w:rPr>
        <w:t xml:space="preserve"> teacher. </w:t>
      </w:r>
    </w:p>
    <w:p w:rsidR="0021239C" w:rsidRDefault="0021239C" w:rsidP="00D80130">
      <w:pPr>
        <w:tabs>
          <w:tab w:val="left" w:pos="10206"/>
        </w:tabs>
        <w:ind w:right="284"/>
        <w:rPr>
          <w:rFonts w:asciiTheme="minorHAnsi" w:hAnsiTheme="minorHAnsi"/>
          <w:szCs w:val="24"/>
        </w:rPr>
      </w:pPr>
    </w:p>
    <w:p w:rsidR="007B0E8F" w:rsidRPr="00D80130" w:rsidRDefault="007B0E8F" w:rsidP="00D80130">
      <w:pPr>
        <w:tabs>
          <w:tab w:val="left" w:pos="10206"/>
        </w:tabs>
        <w:ind w:left="284" w:right="284"/>
        <w:rPr>
          <w:rFonts w:asciiTheme="minorHAnsi" w:hAnsiTheme="minorHAnsi"/>
          <w:b/>
          <w:szCs w:val="24"/>
        </w:rPr>
      </w:pPr>
    </w:p>
    <w:p w:rsidR="007B0E8F" w:rsidRDefault="007B0E8F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 understand </w:t>
      </w:r>
      <w:r w:rsidR="00487679">
        <w:rPr>
          <w:rFonts w:asciiTheme="minorHAnsi" w:hAnsiTheme="minorHAnsi"/>
          <w:szCs w:val="24"/>
        </w:rPr>
        <w:t xml:space="preserve">my rights </w:t>
      </w:r>
      <w:r>
        <w:rPr>
          <w:rFonts w:asciiTheme="minorHAnsi" w:hAnsiTheme="minorHAnsi"/>
          <w:szCs w:val="24"/>
        </w:rPr>
        <w:t xml:space="preserve">and accept my responsibilities as a senior student in the Wilvandee Access Program.  My signature below signifies my commitment to </w:t>
      </w:r>
      <w:r w:rsidR="00FF23FC">
        <w:rPr>
          <w:rFonts w:asciiTheme="minorHAnsi" w:hAnsiTheme="minorHAnsi"/>
          <w:szCs w:val="24"/>
        </w:rPr>
        <w:t xml:space="preserve">and understanding of </w:t>
      </w:r>
      <w:r w:rsidR="00487679">
        <w:rPr>
          <w:rFonts w:asciiTheme="minorHAnsi" w:hAnsiTheme="minorHAnsi"/>
          <w:szCs w:val="24"/>
        </w:rPr>
        <w:t>these</w:t>
      </w:r>
      <w:r>
        <w:rPr>
          <w:rFonts w:asciiTheme="minorHAnsi" w:hAnsiTheme="minorHAnsi"/>
          <w:szCs w:val="24"/>
        </w:rPr>
        <w:t>.</w:t>
      </w:r>
    </w:p>
    <w:p w:rsidR="00487679" w:rsidRDefault="00487679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487679" w:rsidRDefault="00487679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487679" w:rsidRDefault="00487679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487679" w:rsidRDefault="00487679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Signature</w:t>
      </w:r>
      <w:proofErr w:type="gramStart"/>
      <w:r>
        <w:rPr>
          <w:rFonts w:asciiTheme="minorHAnsi" w:hAnsiTheme="minorHAnsi"/>
          <w:szCs w:val="24"/>
        </w:rPr>
        <w:t>:_</w:t>
      </w:r>
      <w:proofErr w:type="gramEnd"/>
      <w:r>
        <w:rPr>
          <w:rFonts w:asciiTheme="minorHAnsi" w:hAnsiTheme="minorHAnsi"/>
          <w:szCs w:val="24"/>
        </w:rPr>
        <w:t>_______________________________________  Date:_________________</w:t>
      </w:r>
    </w:p>
    <w:p w:rsidR="00487679" w:rsidRPr="0021239C" w:rsidRDefault="00487679" w:rsidP="00FF23FC">
      <w:pPr>
        <w:tabs>
          <w:tab w:val="left" w:pos="10206"/>
        </w:tabs>
        <w:ind w:left="284" w:right="284"/>
        <w:rPr>
          <w:rFonts w:asciiTheme="minorHAnsi" w:hAnsiTheme="minorHAnsi"/>
          <w:szCs w:val="24"/>
        </w:rPr>
      </w:pPr>
    </w:p>
    <w:p w:rsidR="00636EA8" w:rsidRPr="007B0E8F" w:rsidRDefault="00636EA8" w:rsidP="00FF23FC">
      <w:pPr>
        <w:tabs>
          <w:tab w:val="left" w:pos="10206"/>
        </w:tabs>
        <w:ind w:left="284" w:right="284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sectPr w:rsidR="00636EA8" w:rsidRPr="007B0E8F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30A1F06"/>
    <w:multiLevelType w:val="hybridMultilevel"/>
    <w:tmpl w:val="B96AC568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50347E3"/>
    <w:multiLevelType w:val="hybridMultilevel"/>
    <w:tmpl w:val="14CEA28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740768"/>
    <w:multiLevelType w:val="hybridMultilevel"/>
    <w:tmpl w:val="5D92191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AE061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0163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E1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C029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942B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8CF3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247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6D6B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AF314CE"/>
    <w:multiLevelType w:val="hybridMultilevel"/>
    <w:tmpl w:val="BF70A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60D1F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84014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239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24A1"/>
    <w:rsid w:val="002A7F1B"/>
    <w:rsid w:val="002B09D7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87679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24A7E"/>
    <w:rsid w:val="00636EA8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0E8F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17F04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C3F9D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42B19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66D37"/>
    <w:rsid w:val="00D706D8"/>
    <w:rsid w:val="00D80130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2645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144E"/>
    <w:rsid w:val="00F14EB5"/>
    <w:rsid w:val="00F20F78"/>
    <w:rsid w:val="00F21717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2DD"/>
    <w:rsid w:val="00FD46C7"/>
    <w:rsid w:val="00FD61A5"/>
    <w:rsid w:val="00FE7FFD"/>
    <w:rsid w:val="00FF23FC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23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239C"/>
    <w:rPr>
      <w:rFonts w:ascii="Times" w:eastAsia="Times" w:hAnsi="Times" w:cs="Times New Roman"/>
      <w:sz w:val="24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3</cp:revision>
  <cp:lastPrinted>2010-07-26T23:44:00Z</cp:lastPrinted>
  <dcterms:created xsi:type="dcterms:W3CDTF">2010-09-16T02:54:00Z</dcterms:created>
  <dcterms:modified xsi:type="dcterms:W3CDTF">2010-10-13T03:32:00Z</dcterms:modified>
</cp:coreProperties>
</file>